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12D7" w14:textId="2A18ACC2" w:rsidR="00DB631F" w:rsidRPr="00455F2C" w:rsidRDefault="00DB631F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</w:pP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Peste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700 de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polițiști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formați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crearea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unui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mecanism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de dialog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tripartit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campanii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informare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sensibilizare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, la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nivel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național</w:t>
      </w:r>
      <w:proofErr w:type="spellEnd"/>
      <w:r w:rsidRPr="00DB631F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! </w:t>
      </w:r>
    </w:p>
    <w:p w14:paraId="4119270E" w14:textId="77777777" w:rsidR="00420BCE" w:rsidRPr="00DB631F" w:rsidRDefault="00420BCE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5F9B8012" w14:textId="4844194A" w:rsidR="00DB631F" w:rsidRDefault="00DB631F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Acestea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sunt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doar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câteva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dintre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rezultatele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obținute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într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-un an de la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debutul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Proiectului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„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VioGen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– </w:t>
      </w:r>
      <w:proofErr w:type="spellStart"/>
      <w:proofErr w:type="gram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RoJust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“</w:t>
      </w:r>
      <w:proofErr w:type="gram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implementat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Ministerul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Familiei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Tineretului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Egalității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Șanse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prin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Agenția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Națională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pentru Egalitatea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Șanse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Femei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Bărbați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.</w:t>
      </w:r>
    </w:p>
    <w:p w14:paraId="708D6DD3" w14:textId="77777777" w:rsidR="00420BCE" w:rsidRPr="00DB631F" w:rsidRDefault="00420BCE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6B8D14B1" w14:textId="778B154E" w:rsidR="00DB631F" w:rsidRDefault="00DB631F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Desfășurat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parteneriat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patru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organizații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non-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guvernamentale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vastă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experiență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domeniu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: Centrul FILIA,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Asociația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Transcena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Asociația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ANAIS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Asociația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GRADO,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proiectul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are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scopul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îmbunătăți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capacitatea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autorităților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române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gram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</w:t>
      </w:r>
      <w:proofErr w:type="gram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apăra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respecta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victimele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violenței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domestice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violenței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gen. </w:t>
      </w:r>
    </w:p>
    <w:p w14:paraId="34E1E3BD" w14:textId="77777777" w:rsidR="00420BCE" w:rsidRPr="00DB631F" w:rsidRDefault="00420BCE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1E5FC88F" w14:textId="2DBD40FB" w:rsidR="00DB631F" w:rsidRDefault="00DB631F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Mecanismul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Dialog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Tripartit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o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premieră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România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este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constituit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din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Comitetul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Interministerial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pentru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Prevenirea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Combaterea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Violenței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Domestice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Comitetul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Național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domeniul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Egalității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Șanse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Femei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Bărbați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(CONES)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Comitetele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Județene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domeniul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Egalității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Șanse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Femei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Bărbați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(COJES) și 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fost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creat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scopul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eficientiza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dialogul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structurile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cauză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dar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mai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ales, pentru 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responsabiliza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autoritățile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procesul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implementare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deciziilor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recomandărilor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țară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materia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drepturilor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omului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. </w:t>
      </w:r>
    </w:p>
    <w:p w14:paraId="3ABD8C20" w14:textId="77777777" w:rsidR="00420BCE" w:rsidRPr="00DB631F" w:rsidRDefault="00420BCE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5B9DCBF9" w14:textId="59DECA21" w:rsidR="00DB631F" w:rsidRDefault="00DB631F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asemenea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la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nivel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național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fost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inițiat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un program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formare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profesională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inițială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continuă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judecătorilor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avocaților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procurorilor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polițiștilor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abordează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implementarea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documentelor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internaționale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privire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la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drepturile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omului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ratificate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către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România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(CEDO, CEDAW,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Convenția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la Istanbul,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Convenția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la Lanzarote)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evitarea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viciilor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procedură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care au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determinat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condamnarea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României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către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CEDO.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Până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prezent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au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fost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formați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peste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600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polițiști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din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toate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județele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țării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. Pentru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anul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2023,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echipa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implementare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pregătește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formări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elaborate special pentru un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număr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820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avocați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100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judecători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100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procurori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. </w:t>
      </w:r>
    </w:p>
    <w:p w14:paraId="0EB3AC41" w14:textId="77777777" w:rsidR="00420BCE" w:rsidRPr="00DB631F" w:rsidRDefault="00420BCE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4FA6E7DF" w14:textId="52FD3A44" w:rsidR="00DB631F" w:rsidRDefault="00DB631F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</w:pP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Campaniile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naționale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informare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conștientizare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gram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</w:t>
      </w:r>
      <w:proofErr w:type="gram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opiniei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publice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privire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violența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gen,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respectarea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drepturilor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victimelor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evitarea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revictimizării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nediscriminării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avut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atât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compomente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above the line, precum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spoturi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radio-TV,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panouri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offline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București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bus shelter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Giurgiu,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dar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below the line,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prin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evenimente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informare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dedicate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tinerilor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vârste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cuprinse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15-19 ani, cu un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număr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peste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800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elevi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informați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până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prezent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. </w:t>
      </w:r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Una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dintre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platformele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dezvoltate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cadrul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proiectului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poate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fi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accesată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aici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: </w:t>
      </w:r>
      <w:hyperlink r:id="rId4" w:tgtFrame="_blank" w:history="1">
        <w:r w:rsidRPr="00DB631F">
          <w:rPr>
            <w:rFonts w:ascii="Trebuchet MS" w:eastAsia="Times New Roman" w:hAnsi="Trebuchet MS" w:cs="Segoe UI Historic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it-IT"/>
            <w14:ligatures w14:val="none"/>
          </w:rPr>
          <w:t>https://centrulfilia.ro/vdg/</w:t>
        </w:r>
      </w:hyperlink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</w:p>
    <w:p w14:paraId="4EF0FBA9" w14:textId="77777777" w:rsidR="00420BCE" w:rsidRPr="00DB631F" w:rsidRDefault="00420BCE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</w:pPr>
    </w:p>
    <w:p w14:paraId="511A3CBD" w14:textId="57B11A38" w:rsidR="00DB631F" w:rsidRPr="00DB631F" w:rsidRDefault="00DB631F" w:rsidP="00420BC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</w:pPr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asemenea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în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vederea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elaborării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unui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Studiu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privind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jurisprudența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CEDO,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relevant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pentru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profesioniștii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din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domeniul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judiciar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și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exemple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bună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practică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, pe site-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ANES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au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fost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traduse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zece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hotărâri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CEDO ca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exemple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bună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practică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.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Traducerile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, pe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categorii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de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interes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,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pot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fi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accesate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la </w:t>
      </w:r>
      <w:proofErr w:type="spellStart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>următorul</w:t>
      </w:r>
      <w:proofErr w:type="spellEnd"/>
      <w:r w:rsidRPr="00DB631F">
        <w:rPr>
          <w:rFonts w:ascii="Trebuchet MS" w:eastAsia="Times New Roman" w:hAnsi="Trebuchet MS" w:cs="Segoe UI Historic"/>
          <w:color w:val="050505"/>
          <w:kern w:val="0"/>
          <w:sz w:val="24"/>
          <w:szCs w:val="24"/>
          <w:lang w:val="it-IT"/>
          <w14:ligatures w14:val="none"/>
        </w:rPr>
        <w:t xml:space="preserve"> link: </w:t>
      </w:r>
      <w:hyperlink r:id="rId5" w:tgtFrame="_blank" w:history="1">
        <w:r w:rsidRPr="00DB631F">
          <w:rPr>
            <w:rFonts w:ascii="Trebuchet MS" w:eastAsia="Times New Roman" w:hAnsi="Trebuchet MS" w:cs="Segoe UI Historic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it-IT"/>
            <w14:ligatures w14:val="none"/>
          </w:rPr>
          <w:t>https://anes.gov.ro/hotarari-ale-curtii-europene-a.../</w:t>
        </w:r>
      </w:hyperlink>
    </w:p>
    <w:p w14:paraId="5C0C29BF" w14:textId="77777777" w:rsidR="00680F55" w:rsidRPr="00420BCE" w:rsidRDefault="00680F55" w:rsidP="00420BCE">
      <w:pPr>
        <w:jc w:val="both"/>
        <w:rPr>
          <w:rFonts w:ascii="Trebuchet MS" w:hAnsi="Trebuchet MS"/>
          <w:sz w:val="24"/>
          <w:szCs w:val="24"/>
          <w:lang w:val="it-IT"/>
        </w:rPr>
      </w:pPr>
    </w:p>
    <w:sectPr w:rsidR="00680F55" w:rsidRPr="0042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54"/>
    <w:rsid w:val="00420BCE"/>
    <w:rsid w:val="00455F2C"/>
    <w:rsid w:val="00680F55"/>
    <w:rsid w:val="00A97754"/>
    <w:rsid w:val="00D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57FC"/>
  <w15:chartTrackingRefBased/>
  <w15:docId w15:val="{DE97E8CF-5AD0-4015-9FB8-90305412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B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es.gov.ro/hotarari-ale-curtii-europene-a-drepturilor-omului/?fbclid=IwAR0jE95iRQypX1k6Mx7gXMOYdnx0zOVg2hhH4jxq_01XxeCkjRdzKr0KlAc" TargetMode="External"/><Relationship Id="rId4" Type="http://schemas.openxmlformats.org/officeDocument/2006/relationships/hyperlink" Target="https://centrulfilia.ro/vdg/?fbclid=IwAR3_2cfOJVSAhDyzmZGs92PUEGuMkjF9yU-JP6b0lv9T_MbWfRbgUK0-5RQ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Codrescu</dc:creator>
  <cp:keywords/>
  <dc:description/>
  <cp:lastModifiedBy>Crina Codrescu</cp:lastModifiedBy>
  <cp:revision>5</cp:revision>
  <dcterms:created xsi:type="dcterms:W3CDTF">2023-05-29T14:39:00Z</dcterms:created>
  <dcterms:modified xsi:type="dcterms:W3CDTF">2023-05-29T14:40:00Z</dcterms:modified>
</cp:coreProperties>
</file>